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17A79" w14:textId="24C02162" w:rsidR="0005401B" w:rsidRDefault="00286F6F" w:rsidP="00286F6F">
      <w:pPr>
        <w:jc w:val="center"/>
        <w:rPr>
          <w:rFonts w:ascii="Arial" w:eastAsia="Times New Roman" w:hAnsi="Arial" w:cs="Arial"/>
          <w:b/>
          <w:bCs/>
          <w:color w:val="0070C0"/>
          <w:sz w:val="23"/>
          <w:szCs w:val="23"/>
          <w:lang w:eastAsia="it-IT"/>
        </w:rPr>
      </w:pPr>
      <w:r w:rsidRPr="00756FB7">
        <w:rPr>
          <w:rFonts w:ascii="Arial" w:eastAsia="Times New Roman" w:hAnsi="Arial" w:cs="Arial"/>
          <w:b/>
          <w:bCs/>
          <w:color w:val="0070C0"/>
          <w:sz w:val="23"/>
          <w:szCs w:val="23"/>
          <w:lang w:eastAsia="it-IT"/>
        </w:rPr>
        <w:t>C</w:t>
      </w:r>
      <w:r>
        <w:rPr>
          <w:rFonts w:ascii="Arial" w:eastAsia="Times New Roman" w:hAnsi="Arial" w:cs="Arial"/>
          <w:b/>
          <w:bCs/>
          <w:color w:val="0070C0"/>
          <w:sz w:val="23"/>
          <w:szCs w:val="23"/>
          <w:lang w:eastAsia="it-IT"/>
        </w:rPr>
        <w:t xml:space="preserve">OMUNICAZIONE INARCASSA GENNAIO </w:t>
      </w:r>
    </w:p>
    <w:p w14:paraId="49560D0E" w14:textId="77777777" w:rsidR="00286F6F" w:rsidRPr="00756FB7" w:rsidRDefault="00286F6F" w:rsidP="00286F6F">
      <w:pPr>
        <w:spacing w:after="240" w:line="240" w:lineRule="auto"/>
        <w:ind w:left="142"/>
        <w:rPr>
          <w:rFonts w:ascii="Roboto" w:eastAsia="Times New Roman" w:hAnsi="Roboto" w:cs="Arial"/>
          <w:color w:val="3F3F3F"/>
          <w:sz w:val="18"/>
          <w:szCs w:val="18"/>
          <w:lang w:eastAsia="it-IT"/>
        </w:rPr>
      </w:pPr>
      <w:r w:rsidRPr="00756FB7">
        <w:rPr>
          <w:rFonts w:ascii="Roboto" w:eastAsia="Times New Roman" w:hAnsi="Roboto" w:cs="Arial"/>
          <w:color w:val="3F3F3F"/>
          <w:sz w:val="18"/>
          <w:szCs w:val="18"/>
          <w:lang w:eastAsia="it-IT"/>
        </w:rPr>
        <w:t>Gentile collega</w:t>
      </w:r>
    </w:p>
    <w:p w14:paraId="353EE7F9" w14:textId="3A802AF3" w:rsidR="00286F6F" w:rsidRDefault="001D60E6" w:rsidP="00286F6F">
      <w:pPr>
        <w:ind w:left="142"/>
        <w:rPr>
          <w:rFonts w:ascii="Roboto" w:eastAsia="Times New Roman" w:hAnsi="Roboto" w:cs="Arial"/>
          <w:color w:val="3F3F3F"/>
          <w:sz w:val="18"/>
          <w:szCs w:val="18"/>
          <w:lang w:eastAsia="it-IT"/>
        </w:rPr>
      </w:pPr>
      <w:r>
        <w:rPr>
          <w:rFonts w:ascii="Roboto" w:eastAsia="Times New Roman" w:hAnsi="Roboto" w:cs="Arial"/>
          <w:color w:val="3F3F3F"/>
          <w:sz w:val="18"/>
          <w:szCs w:val="18"/>
          <w:lang w:eastAsia="it-IT"/>
        </w:rPr>
        <w:t>TI</w:t>
      </w:r>
      <w:r w:rsidR="00286F6F" w:rsidRPr="00756FB7">
        <w:rPr>
          <w:rFonts w:ascii="Roboto" w:eastAsia="Times New Roman" w:hAnsi="Roboto" w:cs="Arial"/>
          <w:color w:val="3F3F3F"/>
          <w:sz w:val="18"/>
          <w:szCs w:val="18"/>
          <w:lang w:eastAsia="it-IT"/>
        </w:rPr>
        <w:t xml:space="preserve"> invio le principali novità della nostra Cassa di previdenza </w:t>
      </w:r>
    </w:p>
    <w:p w14:paraId="0F120ECA" w14:textId="77777777" w:rsidR="00286F6F" w:rsidRDefault="00286F6F" w:rsidP="00286F6F">
      <w:pPr>
        <w:ind w:left="142"/>
        <w:rPr>
          <w:rFonts w:ascii="Roboto" w:eastAsia="Times New Roman" w:hAnsi="Roboto" w:cs="Arial"/>
          <w:color w:val="3F3F3F"/>
          <w:sz w:val="18"/>
          <w:szCs w:val="18"/>
          <w:lang w:eastAsia="it-IT"/>
        </w:rPr>
      </w:pPr>
    </w:p>
    <w:p w14:paraId="3B84D7F6" w14:textId="0F1AA1A0" w:rsidR="00286F6F" w:rsidRPr="00286F6F" w:rsidRDefault="00286F6F" w:rsidP="00286F6F">
      <w:pPr>
        <w:ind w:left="142"/>
        <w:rPr>
          <w:rFonts w:ascii="Arial" w:eastAsia="Times New Roman" w:hAnsi="Arial" w:cs="Arial"/>
          <w:b/>
          <w:bCs/>
          <w:color w:val="0070C0"/>
          <w:sz w:val="23"/>
          <w:szCs w:val="23"/>
          <w:lang w:eastAsia="it-IT"/>
        </w:rPr>
      </w:pPr>
      <w:r>
        <w:rPr>
          <w:rFonts w:ascii="Arial" w:eastAsia="Times New Roman" w:hAnsi="Arial" w:cs="Arial"/>
          <w:b/>
          <w:bCs/>
          <w:color w:val="0070C0"/>
          <w:sz w:val="23"/>
          <w:szCs w:val="23"/>
          <w:lang w:eastAsia="it-IT"/>
        </w:rPr>
        <w:t>Prorogate al 31 marzo 2022 le richieste per i finanziamenti e per i Bonus Covid-19</w:t>
      </w:r>
    </w:p>
    <w:p w14:paraId="5AAFFCF9" w14:textId="77777777" w:rsidR="00286F6F" w:rsidRPr="00756FB7" w:rsidRDefault="00286F6F" w:rsidP="00286F6F">
      <w:pPr>
        <w:spacing w:after="240" w:line="276" w:lineRule="auto"/>
        <w:ind w:left="142"/>
        <w:jc w:val="both"/>
        <w:rPr>
          <w:rFonts w:ascii="Roboto" w:eastAsia="Times New Roman" w:hAnsi="Roboto" w:cs="Arial"/>
          <w:color w:val="3F3F3F"/>
          <w:sz w:val="18"/>
          <w:szCs w:val="18"/>
          <w:lang w:eastAsia="it-IT"/>
        </w:rPr>
      </w:pPr>
      <w:r w:rsidRPr="00756FB7">
        <w:rPr>
          <w:rFonts w:ascii="Roboto" w:eastAsia="Times New Roman" w:hAnsi="Roboto" w:cs="Arial"/>
          <w:color w:val="3F3F3F"/>
          <w:sz w:val="18"/>
          <w:szCs w:val="18"/>
          <w:lang w:eastAsia="it-IT"/>
        </w:rPr>
        <w:t>Fino al 31 marzo 2022 è ancora possibile accedere ai finanziamenti fino a 50.000 euro, con contributo in conto interessi al 100% in carico a Inarcassa, da restituire in un periodo massimo di 6 anni.</w:t>
      </w:r>
    </w:p>
    <w:p w14:paraId="2C88BD7E" w14:textId="77777777" w:rsidR="00286F6F" w:rsidRPr="00756FB7" w:rsidRDefault="00286F6F" w:rsidP="00286F6F">
      <w:pPr>
        <w:spacing w:before="240" w:after="240" w:line="276" w:lineRule="auto"/>
        <w:ind w:left="142"/>
        <w:jc w:val="both"/>
        <w:rPr>
          <w:rFonts w:ascii="Roboto" w:eastAsia="Times New Roman" w:hAnsi="Roboto" w:cs="Arial"/>
          <w:color w:val="3F3F3F"/>
          <w:sz w:val="18"/>
          <w:szCs w:val="18"/>
          <w:lang w:eastAsia="it-IT"/>
        </w:rPr>
      </w:pPr>
      <w:r w:rsidRPr="00756FB7">
        <w:rPr>
          <w:rFonts w:ascii="Roboto" w:eastAsia="Times New Roman" w:hAnsi="Roboto" w:cs="Arial"/>
          <w:color w:val="3F3F3F"/>
          <w:sz w:val="18"/>
          <w:szCs w:val="18"/>
          <w:lang w:eastAsia="it-IT"/>
        </w:rPr>
        <w:t>[http://www.inarcassa.it/site/home/assistenza/finanziamenti-covid-19/articolo8608.html]</w:t>
      </w:r>
    </w:p>
    <w:p w14:paraId="4BECE8E8" w14:textId="42CE1CCC" w:rsidR="00286F6F" w:rsidRDefault="00286F6F" w:rsidP="00286F6F">
      <w:pPr>
        <w:spacing w:line="276" w:lineRule="auto"/>
        <w:ind w:left="142"/>
        <w:jc w:val="both"/>
        <w:rPr>
          <w:rFonts w:ascii="Roboto" w:eastAsia="Times New Roman" w:hAnsi="Roboto" w:cs="Arial"/>
          <w:color w:val="3F3F3F"/>
          <w:sz w:val="18"/>
          <w:szCs w:val="18"/>
          <w:lang w:eastAsia="it-IT"/>
        </w:rPr>
      </w:pPr>
      <w:proofErr w:type="gramStart"/>
      <w:r w:rsidRPr="00756FB7">
        <w:rPr>
          <w:rFonts w:ascii="Roboto" w:eastAsia="Times New Roman" w:hAnsi="Roboto" w:cs="Arial"/>
          <w:color w:val="3F3F3F"/>
          <w:sz w:val="18"/>
          <w:szCs w:val="18"/>
          <w:lang w:eastAsia="it-IT"/>
        </w:rPr>
        <w:t>E’</w:t>
      </w:r>
      <w:proofErr w:type="gramEnd"/>
      <w:r w:rsidRPr="00756FB7">
        <w:rPr>
          <w:rFonts w:ascii="Roboto" w:eastAsia="Times New Roman" w:hAnsi="Roboto" w:cs="Arial"/>
          <w:color w:val="3F3F3F"/>
          <w:sz w:val="18"/>
          <w:szCs w:val="18"/>
          <w:lang w:eastAsia="it-IT"/>
        </w:rPr>
        <w:t xml:space="preserve"> stato inoltre deliberato di prorogare i termini di erogazione del sussidio una tantum per gli eventi malattia da COVID-19 con insorgenza dell’evento entro il 31 marzo 2022.</w:t>
      </w:r>
    </w:p>
    <w:p w14:paraId="78338789" w14:textId="77777777" w:rsidR="00286F6F" w:rsidRDefault="00286F6F" w:rsidP="00286F6F">
      <w:pPr>
        <w:spacing w:line="276" w:lineRule="auto"/>
        <w:ind w:left="142"/>
        <w:jc w:val="both"/>
        <w:rPr>
          <w:rFonts w:ascii="Roboto" w:eastAsia="Times New Roman" w:hAnsi="Roboto" w:cs="Arial"/>
          <w:color w:val="3F3F3F"/>
          <w:sz w:val="18"/>
          <w:szCs w:val="18"/>
          <w:lang w:eastAsia="it-IT"/>
        </w:rPr>
      </w:pPr>
    </w:p>
    <w:tbl>
      <w:tblPr>
        <w:tblpPr w:leftFromText="45" w:rightFromText="45" w:vertAnchor="text"/>
        <w:tblW w:w="9702" w:type="dxa"/>
        <w:tblCellSpacing w:w="67" w:type="dxa"/>
        <w:tblCellMar>
          <w:left w:w="0" w:type="dxa"/>
          <w:right w:w="0" w:type="dxa"/>
        </w:tblCellMar>
        <w:tblLook w:val="04A0" w:firstRow="1" w:lastRow="0" w:firstColumn="1" w:lastColumn="0" w:noHBand="0" w:noVBand="1"/>
      </w:tblPr>
      <w:tblGrid>
        <w:gridCol w:w="9702"/>
      </w:tblGrid>
      <w:tr w:rsidR="00286F6F" w:rsidRPr="00756FB7" w14:paraId="3AE6ADF5" w14:textId="77777777" w:rsidTr="00286F6F">
        <w:trPr>
          <w:tblCellSpacing w:w="67" w:type="dxa"/>
        </w:trPr>
        <w:tc>
          <w:tcPr>
            <w:tcW w:w="4862" w:type="pct"/>
            <w:hideMark/>
          </w:tcPr>
          <w:p w14:paraId="667F791F" w14:textId="77777777" w:rsidR="00286F6F" w:rsidRDefault="00286F6F" w:rsidP="009753DF">
            <w:pPr>
              <w:spacing w:after="0" w:line="240" w:lineRule="auto"/>
              <w:rPr>
                <w:rFonts w:ascii="Arial" w:eastAsia="Times New Roman" w:hAnsi="Arial" w:cs="Arial"/>
                <w:b/>
                <w:bCs/>
                <w:i/>
                <w:iCs/>
                <w:color w:val="0070C0"/>
                <w:sz w:val="23"/>
                <w:szCs w:val="23"/>
                <w:lang w:eastAsia="it-IT"/>
              </w:rPr>
            </w:pPr>
            <w:r w:rsidRPr="00756FB7">
              <w:rPr>
                <w:rFonts w:ascii="Arial" w:eastAsia="Times New Roman" w:hAnsi="Arial" w:cs="Arial"/>
                <w:b/>
                <w:bCs/>
                <w:i/>
                <w:iCs/>
                <w:color w:val="0070C0"/>
                <w:sz w:val="23"/>
                <w:szCs w:val="23"/>
                <w:lang w:eastAsia="it-IT"/>
              </w:rPr>
              <w:t>InConference</w:t>
            </w:r>
          </w:p>
          <w:p w14:paraId="344AF6B1" w14:textId="34E59485" w:rsidR="00286F6F" w:rsidRPr="00756FB7" w:rsidRDefault="00286F6F" w:rsidP="009753DF">
            <w:pPr>
              <w:spacing w:after="0" w:line="240" w:lineRule="auto"/>
              <w:rPr>
                <w:rFonts w:ascii="Arial" w:eastAsia="Times New Roman" w:hAnsi="Arial" w:cs="Arial"/>
                <w:color w:val="0070C0"/>
                <w:sz w:val="23"/>
                <w:szCs w:val="23"/>
                <w:lang w:eastAsia="it-IT"/>
              </w:rPr>
            </w:pPr>
          </w:p>
        </w:tc>
      </w:tr>
      <w:tr w:rsidR="00286F6F" w:rsidRPr="00756FB7" w14:paraId="2C004E63" w14:textId="77777777" w:rsidTr="00286F6F">
        <w:trPr>
          <w:tblCellSpacing w:w="67" w:type="dxa"/>
        </w:trPr>
        <w:tc>
          <w:tcPr>
            <w:tcW w:w="4862" w:type="pct"/>
            <w:hideMark/>
          </w:tcPr>
          <w:p w14:paraId="3EAC58AF" w14:textId="61FC76AE" w:rsidR="00286F6F" w:rsidRPr="00756FB7" w:rsidRDefault="00286F6F" w:rsidP="00286F6F">
            <w:pPr>
              <w:spacing w:after="240" w:line="276" w:lineRule="auto"/>
              <w:jc w:val="both"/>
              <w:rPr>
                <w:rFonts w:ascii="Roboto" w:eastAsia="Times New Roman" w:hAnsi="Roboto" w:cs="Arial"/>
                <w:color w:val="3F3F3F"/>
                <w:sz w:val="18"/>
                <w:szCs w:val="18"/>
                <w:lang w:eastAsia="it-IT"/>
              </w:rPr>
            </w:pPr>
            <w:r w:rsidRPr="00756FB7">
              <w:rPr>
                <w:rFonts w:ascii="Roboto" w:eastAsia="Times New Roman" w:hAnsi="Roboto" w:cs="Arial"/>
                <w:color w:val="3F3F3F"/>
                <w:sz w:val="18"/>
                <w:szCs w:val="18"/>
                <w:lang w:eastAsia="it-IT"/>
              </w:rPr>
              <w:t>Il servizio consente, agli associati e alle società di ingegneria di incontrare in videoconferenza un consulente di Inarcassa. Il contatto potrà avvenire attraverso qualsiasi PC, purchè dotato di webcam e cuffie audio: presso l'Ordine Professionale o lo studio o l'abitazione.</w:t>
            </w:r>
          </w:p>
          <w:p w14:paraId="74D312C1" w14:textId="725DDC9E" w:rsidR="00286F6F" w:rsidRPr="00756FB7" w:rsidRDefault="00286F6F" w:rsidP="00286F6F">
            <w:pPr>
              <w:spacing w:before="240" w:after="240" w:line="276" w:lineRule="auto"/>
              <w:jc w:val="both"/>
              <w:rPr>
                <w:rFonts w:ascii="Roboto" w:eastAsia="Times New Roman" w:hAnsi="Roboto" w:cs="Arial"/>
                <w:color w:val="3F3F3F"/>
                <w:sz w:val="18"/>
                <w:szCs w:val="18"/>
                <w:lang w:eastAsia="it-IT"/>
              </w:rPr>
            </w:pPr>
            <w:r w:rsidRPr="00756FB7">
              <w:rPr>
                <w:rFonts w:ascii="Roboto" w:eastAsia="Times New Roman" w:hAnsi="Roboto" w:cs="Arial"/>
                <w:color w:val="3F3F3F"/>
                <w:sz w:val="18"/>
                <w:szCs w:val="18"/>
                <w:lang w:eastAsia="it-IT"/>
              </w:rPr>
              <w:t>Puoi prenotare un appuntamento, accedendo all' area riservata di Inarcassa On Line con le tue credenziali. Gli incontri sono pianificati con frequenza settimanale. La richiesta on line dovrà pervenire almeno cinque giorni prima della data dell'incontro, per permettere di verificare la posizione e fare in modo che la video conferenza sia risolutiva. Le prenotazioni sono gestite direttamente dalle competenti Direzioni di Inarcassa, che hanno il compito di valutare le richieste pervenute, confermando via mail le modalità del collegamento e l'orario dell'incontro, o individuando, laddove opportuno, una modalità di contatto diversa più adatta alla richiesta.</w:t>
            </w:r>
          </w:p>
          <w:p w14:paraId="6450FAF7" w14:textId="54A6AC65" w:rsidR="00286F6F" w:rsidRDefault="00286F6F" w:rsidP="00286F6F">
            <w:pPr>
              <w:spacing w:before="240" w:after="0" w:line="276" w:lineRule="auto"/>
              <w:jc w:val="both"/>
              <w:rPr>
                <w:rFonts w:ascii="Roboto" w:eastAsia="Times New Roman" w:hAnsi="Roboto" w:cs="Arial"/>
                <w:i/>
                <w:iCs/>
                <w:color w:val="3F3F3F"/>
                <w:sz w:val="18"/>
                <w:szCs w:val="18"/>
                <w:lang w:eastAsia="it-IT"/>
              </w:rPr>
            </w:pPr>
            <w:r w:rsidRPr="00756FB7">
              <w:rPr>
                <w:rFonts w:ascii="Roboto" w:eastAsia="Times New Roman" w:hAnsi="Roboto" w:cs="Arial"/>
                <w:i/>
                <w:iCs/>
                <w:color w:val="3F3F3F"/>
                <w:sz w:val="18"/>
                <w:szCs w:val="18"/>
                <w:lang w:eastAsia="it-IT"/>
              </w:rPr>
              <w:t>info dettagliate sul sito di Inarcassa</w:t>
            </w:r>
          </w:p>
          <w:p w14:paraId="19308C9D" w14:textId="77777777" w:rsidR="00286F6F" w:rsidRDefault="00286F6F" w:rsidP="00286F6F">
            <w:pPr>
              <w:spacing w:before="240" w:after="0" w:line="276" w:lineRule="auto"/>
              <w:jc w:val="both"/>
              <w:rPr>
                <w:rFonts w:ascii="Roboto" w:eastAsia="Times New Roman" w:hAnsi="Roboto" w:cs="Arial"/>
                <w:i/>
                <w:iCs/>
                <w:color w:val="3F3F3F"/>
                <w:sz w:val="18"/>
                <w:szCs w:val="18"/>
                <w:lang w:eastAsia="it-IT"/>
              </w:rPr>
            </w:pPr>
          </w:p>
          <w:p w14:paraId="4CE84EE3" w14:textId="3D5B0444" w:rsidR="00286F6F" w:rsidRDefault="00286F6F" w:rsidP="00286F6F">
            <w:pPr>
              <w:spacing w:before="240" w:after="0" w:line="276" w:lineRule="auto"/>
              <w:rPr>
                <w:rFonts w:ascii="Arial" w:eastAsia="Times New Roman" w:hAnsi="Arial" w:cs="Arial"/>
                <w:b/>
                <w:bCs/>
                <w:color w:val="0070C0"/>
                <w:sz w:val="23"/>
                <w:szCs w:val="23"/>
                <w:lang w:eastAsia="it-IT"/>
              </w:rPr>
            </w:pPr>
            <w:r w:rsidRPr="00756FB7">
              <w:rPr>
                <w:rFonts w:ascii="Arial" w:eastAsia="Times New Roman" w:hAnsi="Arial" w:cs="Arial"/>
                <w:b/>
                <w:bCs/>
                <w:color w:val="0070C0"/>
                <w:sz w:val="23"/>
                <w:szCs w:val="23"/>
                <w:lang w:eastAsia="it-IT"/>
              </w:rPr>
              <w:t>Da gennaio 2022, versamenti con PagoPA</w:t>
            </w:r>
          </w:p>
          <w:p w14:paraId="67BF672A" w14:textId="77777777" w:rsidR="00286F6F" w:rsidRDefault="00286F6F" w:rsidP="00286F6F">
            <w:pPr>
              <w:spacing w:before="240" w:after="0" w:line="276" w:lineRule="auto"/>
              <w:rPr>
                <w:rFonts w:ascii="Arial" w:eastAsia="Times New Roman" w:hAnsi="Arial" w:cs="Arial"/>
                <w:b/>
                <w:bCs/>
                <w:color w:val="0070C0"/>
                <w:sz w:val="23"/>
                <w:szCs w:val="23"/>
                <w:lang w:eastAsia="it-IT"/>
              </w:rPr>
            </w:pPr>
          </w:p>
          <w:p w14:paraId="1B79F4E1" w14:textId="77777777" w:rsidR="00286F6F" w:rsidRPr="00756FB7" w:rsidRDefault="00286F6F" w:rsidP="00286F6F">
            <w:pPr>
              <w:spacing w:after="240" w:line="276" w:lineRule="auto"/>
              <w:jc w:val="both"/>
              <w:rPr>
                <w:rFonts w:ascii="Roboto" w:eastAsia="Times New Roman" w:hAnsi="Roboto" w:cs="Arial"/>
                <w:color w:val="3F3F3F"/>
                <w:sz w:val="18"/>
                <w:szCs w:val="18"/>
                <w:lang w:eastAsia="it-IT"/>
              </w:rPr>
            </w:pPr>
            <w:r w:rsidRPr="00756FB7">
              <w:rPr>
                <w:rFonts w:ascii="Roboto" w:eastAsia="Times New Roman" w:hAnsi="Roboto" w:cs="Arial"/>
                <w:color w:val="3F3F3F"/>
                <w:sz w:val="18"/>
                <w:szCs w:val="18"/>
                <w:lang w:eastAsia="it-IT"/>
              </w:rPr>
              <w:t>A partire dal 1° gennaio 2022, parallelamente al sistema di pagamento “PagoPA”, rimangono attivi i seguenti metodi di pagamento:</w:t>
            </w:r>
          </w:p>
          <w:p w14:paraId="30B4234C" w14:textId="77777777" w:rsidR="00286F6F" w:rsidRPr="00756FB7" w:rsidRDefault="00286F6F" w:rsidP="00286F6F">
            <w:pPr>
              <w:spacing w:before="240" w:after="240" w:line="276" w:lineRule="auto"/>
              <w:jc w:val="both"/>
              <w:rPr>
                <w:rFonts w:ascii="Roboto" w:eastAsia="Times New Roman" w:hAnsi="Roboto" w:cs="Arial"/>
                <w:color w:val="3F3F3F"/>
                <w:sz w:val="18"/>
                <w:szCs w:val="18"/>
                <w:lang w:eastAsia="it-IT"/>
              </w:rPr>
            </w:pPr>
            <w:r w:rsidRPr="00756FB7">
              <w:rPr>
                <w:rFonts w:ascii="Roboto" w:eastAsia="Times New Roman" w:hAnsi="Roboto" w:cs="Arial"/>
                <w:color w:val="3F3F3F"/>
                <w:sz w:val="18"/>
                <w:szCs w:val="18"/>
                <w:lang w:eastAsia="it-IT"/>
              </w:rPr>
              <w:t>a) Modello F24 per la compensazione dei crediti verso la pubblica amministrazione</w:t>
            </w:r>
          </w:p>
          <w:p w14:paraId="09BADFFF" w14:textId="77777777" w:rsidR="00286F6F" w:rsidRPr="00756FB7" w:rsidRDefault="00286F6F" w:rsidP="00286F6F">
            <w:pPr>
              <w:spacing w:before="240" w:after="240" w:line="276" w:lineRule="auto"/>
              <w:jc w:val="both"/>
              <w:rPr>
                <w:rFonts w:ascii="Roboto" w:eastAsia="Times New Roman" w:hAnsi="Roboto" w:cs="Arial"/>
                <w:color w:val="3F3F3F"/>
                <w:sz w:val="18"/>
                <w:szCs w:val="18"/>
                <w:lang w:eastAsia="it-IT"/>
              </w:rPr>
            </w:pPr>
            <w:r w:rsidRPr="00756FB7">
              <w:rPr>
                <w:rFonts w:ascii="Roboto" w:eastAsia="Times New Roman" w:hAnsi="Roboto" w:cs="Arial"/>
                <w:color w:val="3F3F3F"/>
                <w:sz w:val="18"/>
                <w:szCs w:val="18"/>
                <w:lang w:eastAsia="it-IT"/>
              </w:rPr>
              <w:t>b) Sepa Direct Debit (SDD) per i piani di rateizzazione</w:t>
            </w:r>
          </w:p>
          <w:p w14:paraId="28FD8B3C" w14:textId="0A72379B" w:rsidR="00286F6F" w:rsidRDefault="00286F6F" w:rsidP="00286F6F">
            <w:pPr>
              <w:spacing w:before="240" w:after="0" w:line="276" w:lineRule="auto"/>
              <w:jc w:val="both"/>
              <w:rPr>
                <w:rFonts w:ascii="Roboto" w:eastAsia="Times New Roman" w:hAnsi="Roboto" w:cs="Arial"/>
                <w:color w:val="3F3F3F"/>
                <w:sz w:val="18"/>
                <w:szCs w:val="18"/>
                <w:lang w:eastAsia="it-IT"/>
              </w:rPr>
            </w:pPr>
            <w:r w:rsidRPr="00756FB7">
              <w:rPr>
                <w:rFonts w:ascii="Roboto" w:eastAsia="Times New Roman" w:hAnsi="Roboto" w:cs="Arial"/>
                <w:color w:val="3F3F3F"/>
                <w:sz w:val="18"/>
                <w:szCs w:val="18"/>
                <w:lang w:eastAsia="it-IT"/>
              </w:rPr>
              <w:t>I bollettini MAV emessi per le scadenze fino al 31/12/2021 potranno essere utilizzati per il pagamento anche successivamente al 01/01/2022.</w:t>
            </w:r>
          </w:p>
          <w:p w14:paraId="5ACBDDEB" w14:textId="77777777" w:rsidR="00286F6F" w:rsidRDefault="00286F6F" w:rsidP="00286F6F">
            <w:pPr>
              <w:spacing w:before="240" w:after="0" w:line="276" w:lineRule="auto"/>
              <w:jc w:val="both"/>
              <w:rPr>
                <w:rFonts w:ascii="Roboto" w:eastAsia="Times New Roman" w:hAnsi="Roboto" w:cs="Arial"/>
                <w:color w:val="3F3F3F"/>
                <w:sz w:val="18"/>
                <w:szCs w:val="18"/>
                <w:lang w:eastAsia="it-IT"/>
              </w:rPr>
            </w:pPr>
          </w:p>
          <w:p w14:paraId="75C3CF8B" w14:textId="7055F31D" w:rsidR="00286F6F" w:rsidRDefault="00286F6F" w:rsidP="00286F6F">
            <w:pPr>
              <w:spacing w:before="240" w:after="0" w:line="240" w:lineRule="auto"/>
              <w:rPr>
                <w:rFonts w:ascii="Arial" w:eastAsia="Times New Roman" w:hAnsi="Arial" w:cs="Arial"/>
                <w:b/>
                <w:bCs/>
                <w:color w:val="0070C0"/>
                <w:sz w:val="23"/>
                <w:szCs w:val="23"/>
                <w:lang w:eastAsia="it-IT"/>
              </w:rPr>
            </w:pPr>
            <w:r w:rsidRPr="00756FB7">
              <w:rPr>
                <w:rFonts w:ascii="Arial" w:eastAsia="Times New Roman" w:hAnsi="Arial" w:cs="Arial"/>
                <w:b/>
                <w:bCs/>
                <w:color w:val="0070C0"/>
                <w:sz w:val="23"/>
                <w:szCs w:val="23"/>
                <w:lang w:eastAsia="it-IT"/>
              </w:rPr>
              <w:t>Contributi minimi 2022 in rate bimestrali</w:t>
            </w:r>
          </w:p>
          <w:p w14:paraId="2C5C9AA5" w14:textId="77777777" w:rsidR="00286F6F" w:rsidRDefault="00286F6F" w:rsidP="00286F6F">
            <w:pPr>
              <w:spacing w:before="240" w:after="0" w:line="240" w:lineRule="auto"/>
              <w:rPr>
                <w:rFonts w:ascii="Arial" w:eastAsia="Times New Roman" w:hAnsi="Arial" w:cs="Arial"/>
                <w:b/>
                <w:bCs/>
                <w:color w:val="0070C0"/>
                <w:sz w:val="23"/>
                <w:szCs w:val="23"/>
                <w:lang w:eastAsia="it-IT"/>
              </w:rPr>
            </w:pPr>
          </w:p>
          <w:p w14:paraId="73FE1016" w14:textId="77777777" w:rsidR="00286F6F" w:rsidRPr="00756FB7" w:rsidRDefault="00286F6F" w:rsidP="00286F6F">
            <w:pPr>
              <w:spacing w:after="240" w:line="276" w:lineRule="auto"/>
              <w:jc w:val="both"/>
              <w:rPr>
                <w:rFonts w:ascii="Roboto" w:eastAsia="Times New Roman" w:hAnsi="Roboto" w:cs="Arial"/>
                <w:color w:val="3F3F3F"/>
                <w:sz w:val="18"/>
                <w:szCs w:val="18"/>
                <w:lang w:eastAsia="it-IT"/>
              </w:rPr>
            </w:pPr>
            <w:r w:rsidRPr="00756FB7">
              <w:rPr>
                <w:rFonts w:ascii="Roboto" w:eastAsia="Times New Roman" w:hAnsi="Roboto" w:cs="Arial"/>
                <w:color w:val="3F3F3F"/>
                <w:sz w:val="18"/>
                <w:szCs w:val="18"/>
                <w:lang w:eastAsia="it-IT"/>
              </w:rPr>
              <w:t xml:space="preserve">Anche per il 2022 sarà possibile versare i contributi minimi in sei rate bimestrali, anziché in due semestrali: prima scadenza al 28 febbraio e l’ultima al 31 dicembre 2022. Il pagamento avverrà solo attraverso disposizione permanente </w:t>
            </w:r>
            <w:r w:rsidRPr="00756FB7">
              <w:rPr>
                <w:rFonts w:ascii="Roboto" w:eastAsia="Times New Roman" w:hAnsi="Roboto" w:cs="Arial"/>
                <w:color w:val="3F3F3F"/>
                <w:sz w:val="18"/>
                <w:szCs w:val="18"/>
                <w:lang w:eastAsia="it-IT"/>
              </w:rPr>
              <w:lastRenderedPageBreak/>
              <w:t>di bonifico (SDD) dal proprio conto corrente bancario, con IBAN comunicato in fase di richiesta. Hanno accesso all’agevolazione tutti gli iscritti a Inarcassa, inclusi i pensionati.</w:t>
            </w:r>
          </w:p>
          <w:p w14:paraId="18F5EFF9" w14:textId="1C7EC2E3" w:rsidR="00286F6F" w:rsidRDefault="00286F6F" w:rsidP="00286F6F">
            <w:pPr>
              <w:spacing w:before="240" w:after="0" w:line="240" w:lineRule="auto"/>
              <w:rPr>
                <w:rFonts w:ascii="Roboto" w:eastAsia="Times New Roman" w:hAnsi="Roboto" w:cs="Arial"/>
                <w:color w:val="3F3F3F"/>
                <w:sz w:val="18"/>
                <w:szCs w:val="18"/>
                <w:lang w:eastAsia="it-IT"/>
              </w:rPr>
            </w:pPr>
            <w:r w:rsidRPr="00756FB7">
              <w:rPr>
                <w:rFonts w:ascii="Roboto" w:eastAsia="Times New Roman" w:hAnsi="Roboto" w:cs="Arial"/>
                <w:b/>
                <w:bCs/>
                <w:color w:val="3F3F3F"/>
                <w:sz w:val="18"/>
                <w:szCs w:val="18"/>
                <w:lang w:eastAsia="it-IT"/>
              </w:rPr>
              <w:t>Richiesta entro il 31 gennaio 2022 con </w:t>
            </w:r>
            <w:r w:rsidRPr="00756FB7">
              <w:rPr>
                <w:rFonts w:ascii="Roboto" w:eastAsia="Times New Roman" w:hAnsi="Roboto" w:cs="Arial"/>
                <w:color w:val="3F3F3F"/>
                <w:sz w:val="18"/>
                <w:szCs w:val="18"/>
                <w:lang w:eastAsia="it-IT"/>
              </w:rPr>
              <w:t>l’apposita funzione disponibile alla voce "agevolazioni" del menù laterale di </w:t>
            </w:r>
            <w:r w:rsidRPr="00756FB7">
              <w:rPr>
                <w:rFonts w:ascii="Roboto" w:eastAsia="Times New Roman" w:hAnsi="Roboto" w:cs="Arial"/>
                <w:b/>
                <w:bCs/>
                <w:i/>
                <w:iCs/>
                <w:color w:val="3F3F3F"/>
                <w:sz w:val="18"/>
                <w:szCs w:val="18"/>
                <w:lang w:eastAsia="it-IT"/>
              </w:rPr>
              <w:t>Inarcassa</w:t>
            </w:r>
            <w:r w:rsidRPr="00756FB7">
              <w:rPr>
                <w:rFonts w:ascii="Roboto" w:eastAsia="Times New Roman" w:hAnsi="Roboto" w:cs="Arial"/>
                <w:i/>
                <w:iCs/>
                <w:color w:val="3F3F3F"/>
                <w:sz w:val="18"/>
                <w:szCs w:val="18"/>
                <w:lang w:eastAsia="it-IT"/>
              </w:rPr>
              <w:t> </w:t>
            </w:r>
            <w:r w:rsidRPr="00756FB7">
              <w:rPr>
                <w:rFonts w:ascii="Roboto" w:eastAsia="Times New Roman" w:hAnsi="Roboto" w:cs="Arial"/>
                <w:b/>
                <w:bCs/>
                <w:i/>
                <w:iCs/>
                <w:color w:val="3F3F3F"/>
                <w:sz w:val="18"/>
                <w:szCs w:val="18"/>
                <w:lang w:eastAsia="it-IT"/>
              </w:rPr>
              <w:t xml:space="preserve">On </w:t>
            </w:r>
            <w:proofErr w:type="gramStart"/>
            <w:r w:rsidRPr="00756FB7">
              <w:rPr>
                <w:rFonts w:ascii="Roboto" w:eastAsia="Times New Roman" w:hAnsi="Roboto" w:cs="Arial"/>
                <w:b/>
                <w:bCs/>
                <w:i/>
                <w:iCs/>
                <w:color w:val="3F3F3F"/>
                <w:sz w:val="18"/>
                <w:szCs w:val="18"/>
                <w:lang w:eastAsia="it-IT"/>
              </w:rPr>
              <w:t>line</w:t>
            </w:r>
            <w:r w:rsidRPr="00756FB7">
              <w:rPr>
                <w:rFonts w:ascii="Roboto" w:eastAsia="Times New Roman" w:hAnsi="Roboto" w:cs="Arial"/>
                <w:color w:val="3F3F3F"/>
                <w:sz w:val="18"/>
                <w:szCs w:val="18"/>
                <w:lang w:eastAsia="it-IT"/>
              </w:rPr>
              <w:t> .</w:t>
            </w:r>
            <w:proofErr w:type="gramEnd"/>
          </w:p>
          <w:p w14:paraId="46074619" w14:textId="2018F970" w:rsidR="00286F6F" w:rsidRDefault="00286F6F" w:rsidP="00286F6F">
            <w:pPr>
              <w:spacing w:before="240" w:after="0" w:line="240" w:lineRule="auto"/>
              <w:rPr>
                <w:rFonts w:ascii="Roboto" w:eastAsia="Times New Roman" w:hAnsi="Roboto" w:cs="Arial"/>
                <w:color w:val="3F3F3F"/>
                <w:sz w:val="18"/>
                <w:szCs w:val="18"/>
                <w:lang w:eastAsia="it-IT"/>
              </w:rPr>
            </w:pPr>
          </w:p>
          <w:p w14:paraId="7925F4AF" w14:textId="4028C3DA" w:rsidR="00286F6F" w:rsidRDefault="00286F6F" w:rsidP="00286F6F">
            <w:pPr>
              <w:spacing w:before="240" w:after="0" w:line="240" w:lineRule="auto"/>
              <w:rPr>
                <w:rFonts w:ascii="Roboto" w:eastAsia="Times New Roman" w:hAnsi="Roboto" w:cs="Arial"/>
                <w:color w:val="3F3F3F"/>
                <w:sz w:val="18"/>
                <w:szCs w:val="18"/>
                <w:lang w:eastAsia="it-IT"/>
              </w:rPr>
            </w:pPr>
          </w:p>
          <w:p w14:paraId="76EE59C9" w14:textId="77777777" w:rsidR="00286F6F" w:rsidRDefault="00286F6F" w:rsidP="00286F6F">
            <w:pPr>
              <w:spacing w:before="240" w:after="0" w:line="240" w:lineRule="auto"/>
              <w:rPr>
                <w:rFonts w:ascii="Roboto" w:eastAsia="Times New Roman" w:hAnsi="Roboto" w:cs="Arial"/>
                <w:color w:val="3F3F3F"/>
                <w:sz w:val="18"/>
                <w:szCs w:val="18"/>
                <w:lang w:eastAsia="it-IT"/>
              </w:rPr>
            </w:pPr>
          </w:p>
          <w:tbl>
            <w:tblPr>
              <w:tblpPr w:leftFromText="45" w:rightFromText="45" w:vertAnchor="text"/>
              <w:tblW w:w="4606" w:type="dxa"/>
              <w:tblCellSpacing w:w="67" w:type="dxa"/>
              <w:tblCellMar>
                <w:left w:w="0" w:type="dxa"/>
                <w:right w:w="0" w:type="dxa"/>
              </w:tblCellMar>
              <w:tblLook w:val="04A0" w:firstRow="1" w:lastRow="0" w:firstColumn="1" w:lastColumn="0" w:noHBand="0" w:noVBand="1"/>
            </w:tblPr>
            <w:tblGrid>
              <w:gridCol w:w="4606"/>
            </w:tblGrid>
            <w:tr w:rsidR="00286F6F" w:rsidRPr="00756FB7" w14:paraId="6390298C" w14:textId="77777777" w:rsidTr="00286F6F">
              <w:trPr>
                <w:tblCellSpacing w:w="67" w:type="dxa"/>
              </w:trPr>
              <w:tc>
                <w:tcPr>
                  <w:tcW w:w="4709" w:type="pct"/>
                  <w:hideMark/>
                </w:tcPr>
                <w:p w14:paraId="2E03D1B0" w14:textId="77777777" w:rsidR="00286F6F" w:rsidRPr="00756FB7" w:rsidRDefault="00286F6F" w:rsidP="00286F6F">
                  <w:pPr>
                    <w:spacing w:after="0" w:line="240" w:lineRule="auto"/>
                    <w:rPr>
                      <w:rFonts w:ascii="Arial" w:eastAsia="Times New Roman" w:hAnsi="Arial" w:cs="Arial"/>
                      <w:color w:val="0070C0"/>
                      <w:sz w:val="23"/>
                      <w:szCs w:val="23"/>
                      <w:lang w:eastAsia="it-IT"/>
                    </w:rPr>
                  </w:pPr>
                  <w:r w:rsidRPr="00756FB7">
                    <w:rPr>
                      <w:rFonts w:ascii="Arial" w:eastAsia="Times New Roman" w:hAnsi="Arial" w:cs="Arial"/>
                      <w:b/>
                      <w:bCs/>
                      <w:color w:val="0070C0"/>
                      <w:sz w:val="23"/>
                      <w:szCs w:val="23"/>
                      <w:lang w:eastAsia="it-IT"/>
                    </w:rPr>
                    <w:t>Numeri e riferimenti util</w:t>
                  </w:r>
                  <w:r w:rsidRPr="00756FB7">
                    <w:rPr>
                      <w:rFonts w:ascii="Arial" w:eastAsia="Times New Roman" w:hAnsi="Arial" w:cs="Arial"/>
                      <w:color w:val="0070C0"/>
                      <w:sz w:val="23"/>
                      <w:szCs w:val="23"/>
                      <w:lang w:eastAsia="it-IT"/>
                    </w:rPr>
                    <w:t>i</w:t>
                  </w:r>
                </w:p>
              </w:tc>
            </w:tr>
            <w:tr w:rsidR="00286F6F" w:rsidRPr="00756FB7" w14:paraId="07CB4766" w14:textId="77777777" w:rsidTr="00286F6F">
              <w:trPr>
                <w:tblCellSpacing w:w="67" w:type="dxa"/>
              </w:trPr>
              <w:tc>
                <w:tcPr>
                  <w:tcW w:w="4709" w:type="pct"/>
                  <w:hideMark/>
                </w:tcPr>
                <w:p w14:paraId="2C96CD2E" w14:textId="77777777" w:rsidR="00286F6F" w:rsidRPr="00756FB7" w:rsidRDefault="00286F6F" w:rsidP="00286F6F">
                  <w:pPr>
                    <w:spacing w:after="240" w:line="240" w:lineRule="auto"/>
                    <w:rPr>
                      <w:rFonts w:ascii="Roboto" w:eastAsia="Times New Roman" w:hAnsi="Roboto" w:cs="Arial"/>
                      <w:color w:val="3F3F3F"/>
                      <w:sz w:val="18"/>
                      <w:szCs w:val="18"/>
                      <w:lang w:eastAsia="it-IT"/>
                    </w:rPr>
                  </w:pPr>
                  <w:r w:rsidRPr="00756FB7">
                    <w:rPr>
                      <w:rFonts w:ascii="Roboto" w:eastAsia="Times New Roman" w:hAnsi="Roboto" w:cs="Arial"/>
                      <w:color w:val="3F3F3F"/>
                      <w:sz w:val="18"/>
                      <w:szCs w:val="18"/>
                      <w:lang w:eastAsia="it-IT"/>
                    </w:rPr>
                    <w:t>- Recupero codici Inarcassa On line - Card 800.016318</w:t>
                  </w:r>
                </w:p>
                <w:p w14:paraId="304A3813" w14:textId="77777777" w:rsidR="00286F6F" w:rsidRPr="00756FB7" w:rsidRDefault="00286F6F" w:rsidP="00286F6F">
                  <w:pPr>
                    <w:spacing w:before="240" w:after="240" w:line="240" w:lineRule="auto"/>
                    <w:rPr>
                      <w:rFonts w:ascii="Roboto" w:eastAsia="Times New Roman" w:hAnsi="Roboto" w:cs="Arial"/>
                      <w:color w:val="3F3F3F"/>
                      <w:sz w:val="18"/>
                      <w:szCs w:val="18"/>
                      <w:lang w:eastAsia="it-IT"/>
                    </w:rPr>
                  </w:pPr>
                  <w:r w:rsidRPr="00756FB7">
                    <w:rPr>
                      <w:rFonts w:ascii="Roboto" w:eastAsia="Times New Roman" w:hAnsi="Roboto" w:cs="Arial"/>
                      <w:color w:val="3F3F3F"/>
                      <w:sz w:val="18"/>
                      <w:szCs w:val="18"/>
                      <w:lang w:eastAsia="it-IT"/>
                    </w:rPr>
                    <w:t>– </w:t>
                  </w:r>
                  <w:r w:rsidRPr="00756FB7">
                    <w:rPr>
                      <w:rFonts w:ascii="Roboto" w:eastAsia="Times New Roman" w:hAnsi="Roboto" w:cs="Arial"/>
                      <w:b/>
                      <w:bCs/>
                      <w:color w:val="3F3F3F"/>
                      <w:sz w:val="18"/>
                      <w:szCs w:val="18"/>
                      <w:lang w:eastAsia="it-IT"/>
                    </w:rPr>
                    <w:t>Call Center</w:t>
                  </w:r>
                  <w:r w:rsidRPr="00756FB7">
                    <w:rPr>
                      <w:rFonts w:ascii="Roboto" w:eastAsia="Times New Roman" w:hAnsi="Roboto" w:cs="Arial"/>
                      <w:color w:val="3F3F3F"/>
                      <w:sz w:val="18"/>
                      <w:szCs w:val="18"/>
                      <w:lang w:eastAsia="it-IT"/>
                    </w:rPr>
                    <w:t> 02.91979700</w:t>
                  </w:r>
                </w:p>
                <w:p w14:paraId="2A560CFE" w14:textId="77777777" w:rsidR="00286F6F" w:rsidRPr="00756FB7" w:rsidRDefault="00286F6F" w:rsidP="00286F6F">
                  <w:pPr>
                    <w:spacing w:before="240" w:after="240" w:line="240" w:lineRule="auto"/>
                    <w:rPr>
                      <w:rFonts w:ascii="Roboto" w:eastAsia="Times New Roman" w:hAnsi="Roboto" w:cs="Arial"/>
                      <w:color w:val="3F3F3F"/>
                      <w:sz w:val="18"/>
                      <w:szCs w:val="18"/>
                      <w:lang w:eastAsia="it-IT"/>
                    </w:rPr>
                  </w:pPr>
                  <w:r w:rsidRPr="00756FB7">
                    <w:rPr>
                      <w:rFonts w:ascii="Roboto" w:eastAsia="Times New Roman" w:hAnsi="Roboto" w:cs="Arial"/>
                      <w:color w:val="3F3F3F"/>
                      <w:sz w:val="18"/>
                      <w:szCs w:val="18"/>
                      <w:lang w:eastAsia="it-IT"/>
                    </w:rPr>
                    <w:t>Sito Inarcassa: </w:t>
                  </w:r>
                  <w:r w:rsidRPr="00756FB7">
                    <w:rPr>
                      <w:rFonts w:ascii="Roboto" w:eastAsia="Times New Roman" w:hAnsi="Roboto" w:cs="Arial"/>
                      <w:b/>
                      <w:bCs/>
                      <w:color w:val="3F3F3F"/>
                      <w:sz w:val="18"/>
                      <w:szCs w:val="18"/>
                      <w:lang w:eastAsia="it-IT"/>
                    </w:rPr>
                    <w:t>www.inarcassa.it</w:t>
                  </w:r>
                </w:p>
                <w:p w14:paraId="423D28D1" w14:textId="77777777" w:rsidR="00286F6F" w:rsidRPr="00756FB7" w:rsidRDefault="00286F6F" w:rsidP="00286F6F">
                  <w:pPr>
                    <w:spacing w:before="240" w:after="240" w:line="240" w:lineRule="auto"/>
                    <w:rPr>
                      <w:rFonts w:ascii="Roboto" w:eastAsia="Times New Roman" w:hAnsi="Roboto" w:cs="Arial"/>
                      <w:color w:val="3F3F3F"/>
                      <w:sz w:val="18"/>
                      <w:szCs w:val="18"/>
                      <w:lang w:eastAsia="it-IT"/>
                    </w:rPr>
                  </w:pPr>
                  <w:r w:rsidRPr="00756FB7">
                    <w:rPr>
                      <w:rFonts w:ascii="Roboto" w:eastAsia="Times New Roman" w:hAnsi="Roboto" w:cs="Arial"/>
                      <w:color w:val="3F3F3F"/>
                      <w:sz w:val="18"/>
                      <w:szCs w:val="18"/>
                      <w:lang w:eastAsia="it-IT"/>
                    </w:rPr>
                    <w:t>– PEC di Inarcassa: </w:t>
                  </w:r>
                  <w:r w:rsidRPr="00756FB7">
                    <w:rPr>
                      <w:rFonts w:ascii="Roboto" w:eastAsia="Times New Roman" w:hAnsi="Roboto" w:cs="Arial"/>
                      <w:b/>
                      <w:bCs/>
                      <w:color w:val="3F3F3F"/>
                      <w:sz w:val="18"/>
                      <w:szCs w:val="18"/>
                      <w:lang w:eastAsia="it-IT"/>
                    </w:rPr>
                    <w:t>protocollo@pec.inarcassa.org</w:t>
                  </w:r>
                </w:p>
                <w:p w14:paraId="1A7AA844" w14:textId="77777777" w:rsidR="00286F6F" w:rsidRDefault="00286F6F" w:rsidP="00286F6F">
                  <w:pPr>
                    <w:spacing w:before="240" w:after="0" w:line="240" w:lineRule="auto"/>
                    <w:rPr>
                      <w:rFonts w:ascii="Roboto" w:eastAsia="Times New Roman" w:hAnsi="Roboto" w:cs="Arial"/>
                      <w:b/>
                      <w:bCs/>
                      <w:color w:val="3F3F3F"/>
                      <w:sz w:val="18"/>
                      <w:szCs w:val="18"/>
                      <w:lang w:eastAsia="it-IT"/>
                    </w:rPr>
                  </w:pPr>
                  <w:r w:rsidRPr="00756FB7">
                    <w:rPr>
                      <w:rFonts w:ascii="Roboto" w:eastAsia="Times New Roman" w:hAnsi="Roboto" w:cs="Arial"/>
                      <w:color w:val="3F3F3F"/>
                      <w:sz w:val="18"/>
                      <w:szCs w:val="18"/>
                      <w:lang w:eastAsia="it-IT"/>
                    </w:rPr>
                    <w:t>– Banca Popolare di Sondrio, IBAN Contributi e/o</w:t>
                  </w:r>
                  <w:r>
                    <w:rPr>
                      <w:rFonts w:ascii="Roboto" w:eastAsia="Times New Roman" w:hAnsi="Roboto" w:cs="Arial"/>
                      <w:color w:val="3F3F3F"/>
                      <w:sz w:val="18"/>
                      <w:szCs w:val="18"/>
                      <w:lang w:eastAsia="it-IT"/>
                    </w:rPr>
                    <w:t xml:space="preserve"> </w:t>
                  </w:r>
                  <w:r w:rsidRPr="00756FB7">
                    <w:rPr>
                      <w:rFonts w:ascii="Roboto" w:eastAsia="Times New Roman" w:hAnsi="Roboto" w:cs="Arial"/>
                      <w:color w:val="3F3F3F"/>
                      <w:sz w:val="18"/>
                      <w:szCs w:val="18"/>
                      <w:lang w:eastAsia="it-IT"/>
                    </w:rPr>
                    <w:t>sanzioni </w:t>
                  </w:r>
                  <w:r w:rsidRPr="00756FB7">
                    <w:rPr>
                      <w:rFonts w:ascii="Roboto" w:eastAsia="Times New Roman" w:hAnsi="Roboto" w:cs="Arial"/>
                      <w:b/>
                      <w:bCs/>
                      <w:color w:val="3F3F3F"/>
                      <w:sz w:val="18"/>
                      <w:szCs w:val="18"/>
                      <w:lang w:eastAsia="it-IT"/>
                    </w:rPr>
                    <w:t>IT67X0569603211000060030X88</w:t>
                  </w:r>
                </w:p>
                <w:p w14:paraId="51B03024" w14:textId="77777777" w:rsidR="00CC151F" w:rsidRDefault="00286F6F" w:rsidP="00286F6F">
                  <w:pPr>
                    <w:spacing w:before="240" w:after="0" w:line="240" w:lineRule="auto"/>
                    <w:rPr>
                      <w:rFonts w:ascii="Roboto" w:eastAsia="Times New Roman" w:hAnsi="Roboto" w:cs="Arial"/>
                      <w:b/>
                      <w:bCs/>
                      <w:color w:val="3F3F3F"/>
                      <w:sz w:val="18"/>
                      <w:szCs w:val="18"/>
                      <w:lang w:eastAsia="it-IT"/>
                    </w:rPr>
                  </w:pPr>
                  <w:r>
                    <w:rPr>
                      <w:rFonts w:ascii="Roboto" w:eastAsia="Times New Roman" w:hAnsi="Roboto" w:cs="Arial"/>
                      <w:b/>
                      <w:bCs/>
                      <w:color w:val="3F3F3F"/>
                      <w:sz w:val="18"/>
                      <w:szCs w:val="18"/>
                      <w:lang w:eastAsia="it-IT"/>
                    </w:rPr>
                    <w:t xml:space="preserve"> </w:t>
                  </w:r>
                </w:p>
                <w:p w14:paraId="08C6300F" w14:textId="2BAE1D8B" w:rsidR="00286F6F" w:rsidRDefault="00286F6F" w:rsidP="00286F6F">
                  <w:pPr>
                    <w:spacing w:before="240" w:after="0" w:line="240" w:lineRule="auto"/>
                    <w:rPr>
                      <w:rFonts w:ascii="Roboto" w:eastAsia="Times New Roman" w:hAnsi="Roboto" w:cs="Arial"/>
                      <w:b/>
                      <w:bCs/>
                      <w:color w:val="3F3F3F"/>
                      <w:sz w:val="18"/>
                      <w:szCs w:val="18"/>
                      <w:lang w:eastAsia="it-IT"/>
                    </w:rPr>
                  </w:pPr>
                  <w:r>
                    <w:rPr>
                      <w:rFonts w:ascii="Roboto" w:eastAsia="Times New Roman" w:hAnsi="Roboto" w:cs="Arial"/>
                      <w:b/>
                      <w:bCs/>
                      <w:color w:val="3F3F3F"/>
                      <w:sz w:val="18"/>
                      <w:szCs w:val="18"/>
                      <w:lang w:eastAsia="it-IT"/>
                    </w:rPr>
                    <w:t xml:space="preserve">                                                                                                         </w:t>
                  </w:r>
                </w:p>
                <w:p w14:paraId="3F53AAC6" w14:textId="6DEF91EB" w:rsidR="00286F6F" w:rsidRPr="00756FB7" w:rsidRDefault="00286F6F" w:rsidP="00286F6F">
                  <w:pPr>
                    <w:spacing w:before="240" w:after="240" w:line="240" w:lineRule="auto"/>
                    <w:ind w:right="-4033"/>
                    <w:rPr>
                      <w:rFonts w:ascii="Roboto" w:eastAsia="Times New Roman" w:hAnsi="Roboto" w:cs="Arial"/>
                      <w:color w:val="3F3F3F"/>
                      <w:sz w:val="18"/>
                      <w:szCs w:val="18"/>
                      <w:lang w:eastAsia="it-IT"/>
                    </w:rPr>
                  </w:pPr>
                  <w:r>
                    <w:rPr>
                      <w:rFonts w:ascii="Roboto" w:eastAsia="Times New Roman" w:hAnsi="Roboto" w:cs="Arial"/>
                      <w:color w:val="3F3F3F"/>
                      <w:sz w:val="18"/>
                      <w:szCs w:val="18"/>
                      <w:lang w:eastAsia="it-IT"/>
                    </w:rPr>
                    <w:t xml:space="preserve">                                                                                                                         </w:t>
                  </w:r>
                </w:p>
              </w:tc>
            </w:tr>
          </w:tbl>
          <w:p w14:paraId="60836681" w14:textId="39915EFD" w:rsidR="00286F6F" w:rsidRPr="00756FB7" w:rsidRDefault="00286F6F" w:rsidP="00286F6F">
            <w:pPr>
              <w:spacing w:before="240" w:after="0" w:line="240" w:lineRule="auto"/>
              <w:rPr>
                <w:rFonts w:ascii="Roboto" w:eastAsia="Times New Roman" w:hAnsi="Roboto" w:cs="Arial"/>
                <w:color w:val="3F3F3F"/>
                <w:sz w:val="18"/>
                <w:szCs w:val="18"/>
                <w:lang w:eastAsia="it-IT"/>
              </w:rPr>
            </w:pPr>
          </w:p>
        </w:tc>
      </w:tr>
    </w:tbl>
    <w:p w14:paraId="1381E83B" w14:textId="77777777" w:rsidR="00286F6F" w:rsidRDefault="00286F6F" w:rsidP="00286F6F"/>
    <w:sectPr w:rsidR="00286F6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F6F"/>
    <w:rsid w:val="001D60E6"/>
    <w:rsid w:val="002822BB"/>
    <w:rsid w:val="00286F6F"/>
    <w:rsid w:val="0066077E"/>
    <w:rsid w:val="00C60F83"/>
    <w:rsid w:val="00CC15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76B44"/>
  <w15:chartTrackingRefBased/>
  <w15:docId w15:val="{FC870AD5-0996-4245-AA2D-6C2D7FDD0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479</Words>
  <Characters>2734</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Mulè Gianluca</dc:creator>
  <cp:keywords/>
  <dc:description/>
  <cp:lastModifiedBy>Mulè Gianluca</cp:lastModifiedBy>
  <cp:revision>2</cp:revision>
  <dcterms:created xsi:type="dcterms:W3CDTF">2022-01-14T10:14:00Z</dcterms:created>
  <dcterms:modified xsi:type="dcterms:W3CDTF">2022-01-14T10:24:00Z</dcterms:modified>
</cp:coreProperties>
</file>